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1" w:tblpY="207"/>
        <w:tblW w:w="9923" w:type="dxa"/>
        <w:tblLayout w:type="fixed"/>
        <w:tblLook w:val="0000" w:firstRow="0" w:lastRow="0" w:firstColumn="0" w:lastColumn="0" w:noHBand="0" w:noVBand="0"/>
      </w:tblPr>
      <w:tblGrid>
        <w:gridCol w:w="4785"/>
        <w:gridCol w:w="5138"/>
      </w:tblGrid>
      <w:tr w:rsidR="00A82A2A">
        <w:trPr>
          <w:trHeight w:val="3598"/>
        </w:trPr>
        <w:tc>
          <w:tcPr>
            <w:tcW w:w="4785" w:type="dxa"/>
          </w:tcPr>
          <w:p w:rsidR="00A82A2A" w:rsidRDefault="00B07FEF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2A2A" w:rsidRDefault="00B07FEF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Муниципальное учреждение</w:t>
            </w:r>
          </w:p>
          <w:p w:rsidR="00A82A2A" w:rsidRDefault="00B07FEF">
            <w:pPr>
              <w:keepNext/>
              <w:widowControl w:val="0"/>
              <w:spacing w:after="0" w:line="240" w:lineRule="auto"/>
              <w:ind w:hanging="12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Администрация</w:t>
            </w:r>
          </w:p>
          <w:p w:rsidR="00A82A2A" w:rsidRDefault="00B07FEF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муниципального образования</w:t>
            </w:r>
          </w:p>
          <w:p w:rsidR="00A82A2A" w:rsidRDefault="00B07FEF">
            <w:pPr>
              <w:keepNext/>
              <w:widowControl w:val="0"/>
              <w:spacing w:after="0" w:line="240" w:lineRule="auto"/>
              <w:ind w:hanging="1276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Курманаевский район</w:t>
            </w:r>
          </w:p>
          <w:p w:rsidR="00A82A2A" w:rsidRDefault="00B07FEF">
            <w:pPr>
              <w:keepNext/>
              <w:widowControl w:val="0"/>
              <w:spacing w:after="0" w:line="240" w:lineRule="auto"/>
              <w:ind w:hanging="1276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Оренбургской области</w:t>
            </w:r>
          </w:p>
          <w:p w:rsidR="00A82A2A" w:rsidRDefault="00A82A2A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</w:pPr>
          </w:p>
          <w:p w:rsidR="00A82A2A" w:rsidRDefault="00B07FEF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A82A2A" w:rsidRDefault="00A82A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A2A" w:rsidRDefault="00B07F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  <w:lang w:eastAsia="ru-RU"/>
              </w:rPr>
              <w:t xml:space="preserve"> </w:t>
            </w:r>
          </w:p>
          <w:p w:rsidR="00A82A2A" w:rsidRDefault="00B07FEF">
            <w:pPr>
              <w:widowControl w:val="0"/>
              <w:spacing w:after="0" w:line="240" w:lineRule="auto"/>
              <w:ind w:hanging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№ ________</w:t>
            </w:r>
          </w:p>
        </w:tc>
        <w:tc>
          <w:tcPr>
            <w:tcW w:w="5137" w:type="dxa"/>
          </w:tcPr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A2A" w:rsidRDefault="00A82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A2A" w:rsidRDefault="00A82A2A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82A2A" w:rsidRDefault="00A82A2A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A82A2A" w:rsidRDefault="00B07FEF">
      <w:pPr>
        <w:pStyle w:val="aa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17.03.2023 № 120-п</w:t>
      </w:r>
    </w:p>
    <w:p w:rsidR="00A82A2A" w:rsidRDefault="00A82A2A">
      <w:pPr>
        <w:rPr>
          <w:rFonts w:ascii="Times New Roman" w:hAnsi="Times New Roman" w:cs="Times New Roman"/>
          <w:sz w:val="28"/>
          <w:szCs w:val="28"/>
        </w:rPr>
      </w:pPr>
    </w:p>
    <w:p w:rsidR="00A82A2A" w:rsidRDefault="00B07FE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муниципального образования Курманаевский район Оренбургской области от 20.12.2024 № 156 «О районном бюджете на 2025 год и на плановый период 2026 и 2027 годов», постановлениями Администрации Курманаевского района Оренбургской области от 26.07.2016 № 694-п «Об утверждении Порядка разработки, согласования, утверждения, реализации и оценки эффективности муниципальных программ» и от 22.10.2014 № 1337-п «Об утверждении перечня муниципальных программ Курманаевского района» внести в постановление Администрации Курманаевского района Оренбургской области от 17.03.2023 № 120-п «Об утверждении муниципальной программы «Развитие системы образования Курманаевского района» следующие изменения:</w:t>
      </w:r>
    </w:p>
    <w:p w:rsidR="00A82A2A" w:rsidRDefault="00B07FE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 согласно приложению.</w:t>
      </w:r>
    </w:p>
    <w:p w:rsidR="00A82A2A" w:rsidRDefault="00B07FE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Курманаевского района Оренбургской области от 20.12.2024 № 737-п «О внесении изменений в постановление от 17.03.2023 № 120-п» признать утратившим силу.</w:t>
      </w:r>
    </w:p>
    <w:p w:rsidR="00A82A2A" w:rsidRDefault="00B07FE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и начальника отдела образования. </w:t>
      </w:r>
    </w:p>
    <w:p w:rsidR="00A82A2A" w:rsidRDefault="00B07FEF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официального опубликования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газете «Муниципальный вестник» </w:t>
      </w:r>
      <w:r>
        <w:rPr>
          <w:rFonts w:ascii="Times New Roman" w:hAnsi="Times New Roman"/>
          <w:sz w:val="28"/>
          <w:szCs w:val="28"/>
        </w:rPr>
        <w:t>и подлежит размещению на официальном сайте муниципального образования Курманаевский район в сети Интернет.</w:t>
      </w:r>
    </w:p>
    <w:p w:rsidR="00A82A2A" w:rsidRDefault="00A82A2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A2A" w:rsidRDefault="00A82A2A">
      <w:pPr>
        <w:rPr>
          <w:rFonts w:ascii="Times New Roman" w:hAnsi="Times New Roman" w:cs="Times New Roman"/>
          <w:sz w:val="28"/>
          <w:szCs w:val="28"/>
        </w:rPr>
      </w:pPr>
    </w:p>
    <w:p w:rsidR="00A82A2A" w:rsidRDefault="00B07FE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 И. Саулин</w:t>
      </w:r>
    </w:p>
    <w:p w:rsidR="00A82A2A" w:rsidRDefault="00B07FEF">
      <w:pPr>
        <w:spacing w:line="360" w:lineRule="auto"/>
        <w:jc w:val="center"/>
        <w:rPr>
          <w:rFonts w:ascii="Tahoma" w:hAnsi="Tahoma" w:cs="Tahoma"/>
          <w:color w:val="FFFFFF" w:themeColor="background1"/>
          <w:sz w:val="16"/>
          <w:szCs w:val="16"/>
        </w:rPr>
      </w:pPr>
      <w:r>
        <w:rPr>
          <w:rFonts w:ascii="Tahoma" w:hAnsi="Tahoma" w:cs="Tahoma"/>
          <w:color w:val="FFFFFF" w:themeColor="background1"/>
          <w:sz w:val="16"/>
          <w:szCs w:val="16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FFFFFF" w:themeColor="background1"/>
          <w:sz w:val="16"/>
          <w:szCs w:val="16"/>
        </w:rPr>
        <w:t xml:space="preserve"> </w:t>
      </w:r>
    </w:p>
    <w:p w:rsidR="00A82A2A" w:rsidRDefault="00B07FEF">
      <w:pPr>
        <w:spacing w:line="360" w:lineRule="auto"/>
        <w:jc w:val="center"/>
        <w:rPr>
          <w:rFonts w:ascii="Tahoma" w:hAnsi="Tahoma" w:cs="Tahoma"/>
          <w:color w:val="AEAAAA" w:themeColor="background2" w:themeShade="BF"/>
          <w:sz w:val="16"/>
          <w:szCs w:val="16"/>
        </w:rPr>
      </w:pPr>
      <w:r>
        <w:rPr>
          <w:rFonts w:ascii="Tahoma" w:hAnsi="Tahoma" w:cs="Tahoma"/>
          <w:color w:val="AEAAAA" w:themeColor="background2" w:themeShade="BF"/>
          <w:sz w:val="16"/>
          <w:szCs w:val="16"/>
        </w:rPr>
        <w:t xml:space="preserve">  </w:t>
      </w:r>
    </w:p>
    <w:p w:rsidR="00A82A2A" w:rsidRDefault="00B07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в дело, Правительству области, прокурору, Гранкиной О.Н., отделу образования, Финансовому отделу, МКУ «ЦБУ», Пшеничникову А.В.</w:t>
      </w:r>
    </w:p>
    <w:p w:rsidR="00A82A2A" w:rsidRDefault="00B07FE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82A2A" w:rsidRDefault="00B07FE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82A2A" w:rsidRDefault="00B07FE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</w:p>
    <w:p w:rsidR="00A82A2A" w:rsidRDefault="00B07FE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 ____</w:t>
      </w:r>
    </w:p>
    <w:p w:rsidR="00A82A2A" w:rsidRDefault="00A82A2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A2A" w:rsidRDefault="00B07F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A82A2A" w:rsidRDefault="00B07FE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системы образования Курманаевского района»</w:t>
      </w:r>
    </w:p>
    <w:p w:rsidR="00A82A2A" w:rsidRDefault="00A82A2A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tblpXSpec="right" w:tblpY="1"/>
        <w:tblW w:w="9639" w:type="dxa"/>
        <w:jc w:val="right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A82A2A">
        <w:trPr>
          <w:trHeight w:val="1133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Курманаевского района</w:t>
            </w:r>
          </w:p>
        </w:tc>
      </w:tr>
      <w:tr w:rsidR="00A82A2A">
        <w:trPr>
          <w:trHeight w:val="574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2023-2028 годы</w:t>
            </w:r>
          </w:p>
        </w:tc>
      </w:tr>
      <w:tr w:rsidR="00A82A2A">
        <w:trPr>
          <w:trHeight w:val="816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pStyle w:val="ConsPlusCell0"/>
              <w:widowControl w:val="0"/>
              <w:ind w:right="138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1: обеспечение возможности детям получать качественное общее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 условиях, отвечающих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требованиям, независимо от места проживания ребенка, организация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плексного психолого-педагогического сопровождения участников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отношений, а также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возможности профессионального развития педагогических работников.</w:t>
            </w:r>
          </w:p>
          <w:p w:rsidR="00A82A2A" w:rsidRDefault="00B07FEF">
            <w:pPr>
              <w:pStyle w:val="ConsPlusCell0"/>
              <w:widowControl w:val="0"/>
              <w:ind w:right="138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2: создание и внедрение в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вательных организациях цифровой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разовательной среды, а также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реализации цифровой трансформ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системы образования.</w:t>
            </w:r>
          </w:p>
          <w:p w:rsidR="00A82A2A" w:rsidRDefault="00B07FEF">
            <w:pPr>
              <w:pStyle w:val="ConsPlusCell0"/>
              <w:widowControl w:val="0"/>
              <w:ind w:right="138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3: создание и работа системы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явления, поддержки и развития спосо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 и талантов детей и молодежи.</w:t>
            </w:r>
          </w:p>
          <w:p w:rsidR="00A82A2A" w:rsidRDefault="00B07FEF">
            <w:pPr>
              <w:pStyle w:val="ConsPlusCell0"/>
              <w:widowControl w:val="0"/>
              <w:ind w:right="138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4: обеспечение устойчивого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 муниципальной системы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соответствующей требованиям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экономики, современным потре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ностям общества и каждого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5: создание современных и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опасных условий детям для получения качественного общего образования.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6: патриотическое воспитание граждан.</w:t>
            </w:r>
          </w:p>
        </w:tc>
      </w:tr>
      <w:tr w:rsidR="00A82A2A">
        <w:trPr>
          <w:trHeight w:val="572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82A2A">
        <w:trPr>
          <w:trHeight w:val="572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pStyle w:val="s16"/>
              <w:widowControl w:val="0"/>
              <w:shd w:val="clear" w:color="auto" w:fill="FFFFFF"/>
              <w:tabs>
                <w:tab w:val="left" w:pos="210"/>
              </w:tabs>
              <w:spacing w:beforeAutospacing="0" w:after="0" w:afterAutospacing="0"/>
              <w:ind w:right="138" w:firstLine="6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lastRenderedPageBreak/>
              <w:t>гами дошкольного образования.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численности обучающи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 муниципальных общеобразовател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организаций, которым представл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на возможность обучаться в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ствии с основными современными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бованиями, в общей численности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чающихся в общеобразовательных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ганизациях.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числа образовательных организаций, обеспечивающих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ставление нормативно-закрепленного перечня сведений о своей деятельности на официальных сайтах, в общем числе образовательных организаций.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этой категории.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tabs>
                <w:tab w:val="left" w:pos="188"/>
              </w:tabs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общеобразовательных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 создавших условия для соверше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ствования организации питания обуч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ющихся в общем числе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 района.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образовательных организаций,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здавших условия для безопасного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бывания обучающихся, воспитанников, работников в общем числе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организаций.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tabs>
                <w:tab w:val="left" w:pos="203"/>
              </w:tabs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исполнения бюджетных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 в отчетном году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ными   образовательными организаци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ми, учреждениями, подведомственными отделу образования, в общем объеме запланированных бюджетных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 в массовых спортивных, досуговых и интеллектуальных мероприятиях, в общем количестве детей школьного возраста.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куб».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охваченных услугами дополнительного образования.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 6-11 классов, охваченных  комплексом профориентационных мероприятий в рамках Единой модели профориентации.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 w:line="240" w:lineRule="auto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образования.</w:t>
            </w:r>
          </w:p>
          <w:p w:rsidR="00A82A2A" w:rsidRDefault="00B07FEF">
            <w:pPr>
              <w:widowControl w:val="0"/>
              <w:tabs>
                <w:tab w:val="left" w:pos="203"/>
              </w:tabs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5 до 18 лет,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использующих сертификаты.</w:t>
            </w:r>
          </w:p>
        </w:tc>
      </w:tr>
      <w:tr w:rsidR="00A82A2A">
        <w:trPr>
          <w:trHeight w:val="758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Программы, в том числе по годам реализации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2644941,675 тыс. рублей, в том числе по годам реализации: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- 373149,300 тыс. рублей;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- 487391,872 тыс. рублей;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- 482673,947 тыс. рублей;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- 431035,052 тыс. рублей;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- 435345,752 тыс. рублей;</w:t>
            </w:r>
          </w:p>
          <w:p w:rsidR="00A82A2A" w:rsidRDefault="00B07FEF">
            <w:pPr>
              <w:widowControl w:val="0"/>
              <w:spacing w:after="0"/>
              <w:ind w:right="138" w:firstLin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- 435345,752 тыс. рублей.</w:t>
            </w:r>
          </w:p>
        </w:tc>
      </w:tr>
      <w:tr w:rsidR="00A82A2A">
        <w:trPr>
          <w:trHeight w:val="1321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целей региональных проектов Оренбургской области</w:t>
            </w:r>
          </w:p>
          <w:p w:rsidR="00A82A2A" w:rsidRDefault="00A82A2A">
            <w:pPr>
              <w:widowControl w:val="0"/>
              <w:ind w:right="140" w:firstLine="6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ние в условиях, отвечающих совреме</w:t>
            </w:r>
            <w:r>
              <w:rPr>
                <w:sz w:val="28"/>
                <w:szCs w:val="28"/>
                <w:shd w:val="clear" w:color="auto" w:fill="FFFFFF"/>
              </w:rPr>
              <w:t>н</w:t>
            </w:r>
            <w:r>
              <w:rPr>
                <w:sz w:val="28"/>
                <w:szCs w:val="28"/>
                <w:shd w:val="clear" w:color="auto" w:fill="FFFFFF"/>
              </w:rPr>
              <w:t>ным требованиям, независимо от места проживания ребенка, организацию ко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плексного психолого-педагогического сопровождения участников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отношений, а также обеспеч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возможности профессионального развития педагогических работников</w:t>
            </w:r>
            <w:r>
              <w:rPr>
                <w:sz w:val="28"/>
                <w:szCs w:val="28"/>
              </w:rPr>
              <w:t>/ Доля педагогических работников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образовательных организаций,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шедших повышение квалификации, в том числе в центрах непрерывного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вышения профессионального масте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ние в условиях, отвечающих совреме</w:t>
            </w:r>
            <w:r>
              <w:rPr>
                <w:sz w:val="28"/>
                <w:szCs w:val="28"/>
                <w:shd w:val="clear" w:color="auto" w:fill="FFFFFF"/>
              </w:rPr>
              <w:t>н</w:t>
            </w:r>
            <w:r>
              <w:rPr>
                <w:sz w:val="28"/>
                <w:szCs w:val="28"/>
                <w:shd w:val="clear" w:color="auto" w:fill="FFFFFF"/>
              </w:rPr>
              <w:t>ным требованиям, независимо от места проживания ребенка, организацию ко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плексного психолого-педагогического сопровождения участников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отношений, а также обеспеч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возможности профессионального развития педагогических работников</w:t>
            </w:r>
            <w:r>
              <w:rPr>
                <w:sz w:val="28"/>
                <w:szCs w:val="28"/>
              </w:rPr>
              <w:t>/</w:t>
            </w:r>
          </w:p>
          <w:p w:rsidR="00A82A2A" w:rsidRDefault="00B07FEF">
            <w:pPr>
              <w:pStyle w:val="s16"/>
              <w:widowControl w:val="0"/>
              <w:shd w:val="clear" w:color="auto" w:fill="FFFFFF"/>
              <w:spacing w:beforeAutospacing="0" w:after="0" w:afterAutospacing="0"/>
              <w:ind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общеобразовательных организациях, расположенных в сельской местности и малых городах, созданы и функцион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руют центры образования естественно-научной и технологической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ностей.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возможности детям получать качественное общее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ние в условиях, отвечающих совреме</w:t>
            </w:r>
            <w:r>
              <w:rPr>
                <w:sz w:val="28"/>
                <w:szCs w:val="28"/>
                <w:shd w:val="clear" w:color="auto" w:fill="FFFFFF"/>
              </w:rPr>
              <w:t>н</w:t>
            </w:r>
            <w:r>
              <w:rPr>
                <w:sz w:val="28"/>
                <w:szCs w:val="28"/>
                <w:shd w:val="clear" w:color="auto" w:fill="FFFFFF"/>
              </w:rPr>
              <w:t>ным требованиям, независимо от места проживания ребенка, организацию ко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плексного психолого-педагогического сопровождения участников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отношений, а также обеспеч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возможности профессионального развития педагогических работников/ Педагогические работники и управле</w:t>
            </w:r>
            <w:r>
              <w:rPr>
                <w:sz w:val="28"/>
                <w:szCs w:val="28"/>
                <w:shd w:val="clear" w:color="auto" w:fill="FFFFFF"/>
              </w:rPr>
              <w:t>н</w:t>
            </w:r>
            <w:r>
              <w:rPr>
                <w:sz w:val="28"/>
                <w:szCs w:val="28"/>
                <w:shd w:val="clear" w:color="auto" w:fill="FFFFFF"/>
              </w:rPr>
              <w:t>ческие кадры системы общего, допо</w:t>
            </w:r>
            <w:r>
              <w:rPr>
                <w:sz w:val="28"/>
                <w:szCs w:val="28"/>
                <w:shd w:val="clear" w:color="auto" w:fill="FFFFFF"/>
              </w:rPr>
              <w:t>л</w:t>
            </w:r>
            <w:r>
              <w:rPr>
                <w:sz w:val="28"/>
                <w:szCs w:val="28"/>
                <w:shd w:val="clear" w:color="auto" w:fill="FFFFFF"/>
              </w:rPr>
              <w:t>нительного  образования детей повыс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ли уровень профессионального масте</w:t>
            </w:r>
            <w:r>
              <w:rPr>
                <w:sz w:val="28"/>
                <w:szCs w:val="28"/>
                <w:shd w:val="clear" w:color="auto" w:fill="FFFFFF"/>
              </w:rPr>
              <w:t>р</w:t>
            </w:r>
            <w:r>
              <w:rPr>
                <w:sz w:val="28"/>
                <w:szCs w:val="28"/>
                <w:shd w:val="clear" w:color="auto" w:fill="FFFFFF"/>
              </w:rPr>
              <w:t>ства по дополнительным професси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нальным программам.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Обновление образовательной инфр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структуры, позволяющей детям и мол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дежи развивать  свои способности и т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ланты</w:t>
            </w:r>
            <w:r>
              <w:rPr>
                <w:sz w:val="28"/>
                <w:szCs w:val="28"/>
              </w:rPr>
              <w:t>/ Доля детей в возрасте от 5 до 18 лет, охваченных дополнительным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зованием.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единого образовательного и воспитательного пространства, направленного на выявление, поддер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ку и развитие способностей и талантов, самоопределение и профессиональную ориентацию детей и молодежи на осн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 принципов ответственности, спр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ведливости, всеобщности/ Доля обуч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ющихся 6-11 классов, охваченных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плексом профориентационных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в рамках Единой  модели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фориентации.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работа системы выявл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ния, поддержки и развития способн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стей и талантов детей и молодежи</w:t>
            </w:r>
            <w:r>
              <w:rPr>
                <w:sz w:val="28"/>
                <w:szCs w:val="28"/>
              </w:rPr>
              <w:t>/ Доля обучающихся по образовательным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граммам основного и среднего общего образования, охваченных мероприяти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ми, направленными на раннюю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сиональную ориентацию, в том числе в рамках программы «Билет в будущее».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2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работа системы выявл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ния, поддержки и развития способн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 xml:space="preserve">стей и талантов детей и молодежи/ </w:t>
            </w:r>
            <w:r>
              <w:rPr>
                <w:sz w:val="28"/>
                <w:szCs w:val="28"/>
              </w:rPr>
              <w:t>Охват детей деятельностью регионал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центров выявления, поддержки и развития способностей и талантов у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 и молодежи, технопарков «Квант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риум» и центров «IТ-куб».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цифровой обр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зовательной среды, а также обеспечение реализации цифровой трансформации системы образования</w:t>
            </w:r>
            <w:r>
              <w:rPr>
                <w:sz w:val="28"/>
                <w:szCs w:val="28"/>
              </w:rPr>
              <w:t>/ Доля обуча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щихся, для которых созданы равные условия получения качественного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 вне зависимости от места их нахождения посредством предоставл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доступа к федеральной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онно-сервисной платформе цифровой образовательной среды.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цифровой обр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зовательной среды, а также обеспечение реализации цифровой трансформации системы образования</w:t>
            </w:r>
            <w:r>
              <w:rPr>
                <w:sz w:val="28"/>
                <w:szCs w:val="28"/>
              </w:rPr>
              <w:t>/ Доля педагогич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работников, использующих серв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сы федеральной информационно-сервисной платформы цифровой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зовательной среды.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цифровой обр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зовательной среды, а также обеспечение реализации цифровой трансформации системы образования</w:t>
            </w:r>
            <w:r>
              <w:rPr>
                <w:sz w:val="28"/>
                <w:szCs w:val="28"/>
              </w:rPr>
              <w:t>/ Доля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зовательных организаций, использу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 сервисы федеральной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онно-сервисной платформы цифровой образовательной среды при реализации основных общеобразовательных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 начального общего, основного общего и среднего общего образования.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Создание и внедрение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цифровой обр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зовательной среды, а также обеспечение реализации цифровой трансформации системы образования</w:t>
            </w:r>
            <w:r>
              <w:rPr>
                <w:sz w:val="28"/>
                <w:szCs w:val="28"/>
              </w:rPr>
              <w:t xml:space="preserve">                                           / Доля общеобразовательных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 оснащенных в целях внедрения цифровой образовательной среды.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функционирования системы патриотического воспитания граждан Российской Федерации, разв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тие воспитательной работы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общего 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образования, провед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мероприятий патриотической направленности</w:t>
            </w:r>
            <w:r>
              <w:rPr>
                <w:sz w:val="28"/>
                <w:szCs w:val="28"/>
              </w:rPr>
              <w:t>/ Созданы условия для развития системы межпоколенческого взаимодействия и обеспечения прее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ственности поколений, поддержки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щественных инициатив и проектов, направленных на гражданское и патр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отическое воспитание детей и молод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функционирования системы патриотического воспитания граждан Российской Федерации, разв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тие воспитательной работы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общего 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образования, провед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 xml:space="preserve">ние мероприятий патриотической направленности/ </w:t>
            </w:r>
            <w:r>
              <w:rPr>
                <w:sz w:val="28"/>
                <w:szCs w:val="28"/>
              </w:rPr>
              <w:t>Количество детей и молодежи в возрасте до 35 лет, вовл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ченных в социально активную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 через увеличение охвата патри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тическими проектами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0"/>
                <w:tab w:val="left" w:pos="352"/>
                <w:tab w:val="left" w:pos="713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Обеспечение функционирования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системы патриотического воспитания граждан Российской Федерации, разв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тие воспитательной работы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общего 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образования, провед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мероприятий патриотической направленности/                         Колич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 xml:space="preserve">ство </w:t>
            </w:r>
            <w:r>
              <w:rPr>
                <w:sz w:val="28"/>
                <w:szCs w:val="28"/>
              </w:rPr>
              <w:t>муниципальных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 в которых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дены мероприятия по обеспечению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 советников директора по воспитанию и взаимодействию с 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скими общественными объединениями.</w:t>
            </w:r>
          </w:p>
          <w:p w:rsidR="00A82A2A" w:rsidRDefault="00B07FEF">
            <w:pPr>
              <w:pStyle w:val="s1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94"/>
              </w:tabs>
              <w:spacing w:beforeAutospacing="0" w:after="0" w:afterAutospacing="0"/>
              <w:ind w:left="0" w:right="138"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Обеспечение функционирования системы патриотического воспитания граждан Российской Федерации, разв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тие воспитательной работы в образов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тельных организациях общего и пр</w:t>
            </w:r>
            <w:r>
              <w:rPr>
                <w:sz w:val="28"/>
                <w:szCs w:val="28"/>
                <w:shd w:val="clear" w:color="auto" w:fill="FFFFFF"/>
              </w:rPr>
              <w:t>о</w:t>
            </w:r>
            <w:r>
              <w:rPr>
                <w:sz w:val="28"/>
                <w:szCs w:val="28"/>
                <w:shd w:val="clear" w:color="auto" w:fill="FFFFFF"/>
              </w:rPr>
              <w:t>фессионального образования, провед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ние мероприятий патриотической направленности/  Количество муниц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>пальных общеобразовательных орган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 xml:space="preserve">заций в которых </w:t>
            </w:r>
            <w:r>
              <w:rPr>
                <w:sz w:val="28"/>
                <w:szCs w:val="28"/>
              </w:rPr>
              <w:t>внедрены рабочие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воспитания обучающихся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82A2A">
        <w:trPr>
          <w:trHeight w:val="845"/>
          <w:jc w:val="righ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иными Программами Курманаевского района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A2A" w:rsidRDefault="00B07FEF">
            <w:pPr>
              <w:widowControl w:val="0"/>
              <w:ind w:firstLine="6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82A2A" w:rsidRDefault="00A82A2A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A82A2A">
      <w:headerReference w:type="even" r:id="rId12"/>
      <w:headerReference w:type="default" r:id="rId13"/>
      <w:headerReference w:type="first" r:id="rId14"/>
      <w:pgSz w:w="11906" w:h="16838"/>
      <w:pgMar w:top="142" w:right="849" w:bottom="426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DF" w:rsidRDefault="000B51DF">
      <w:pPr>
        <w:spacing w:after="0" w:line="240" w:lineRule="auto"/>
      </w:pPr>
      <w:r>
        <w:separator/>
      </w:r>
    </w:p>
  </w:endnote>
  <w:endnote w:type="continuationSeparator" w:id="0">
    <w:p w:rsidR="000B51DF" w:rsidRDefault="000B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DF" w:rsidRDefault="000B51DF">
      <w:pPr>
        <w:spacing w:after="0" w:line="240" w:lineRule="auto"/>
      </w:pPr>
      <w:r>
        <w:separator/>
      </w:r>
    </w:p>
  </w:footnote>
  <w:footnote w:type="continuationSeparator" w:id="0">
    <w:p w:rsidR="000B51DF" w:rsidRDefault="000B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2A" w:rsidRDefault="00A82A2A">
    <w:pPr>
      <w:spacing w:after="141"/>
    </w:pPr>
  </w:p>
  <w:p w:rsidR="00A82A2A" w:rsidRDefault="00B07FEF">
    <w:pPr>
      <w:tabs>
        <w:tab w:val="center" w:pos="7818"/>
        <w:tab w:val="center" w:pos="15636"/>
      </w:tabs>
    </w:pPr>
    <w:r>
      <w:rPr>
        <w:rFonts w:eastAsia="Calibri" w:cs="Calibri"/>
      </w:rP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</w:p>
  <w:p w:rsidR="00A82A2A" w:rsidRDefault="00A82A2A">
    <w:pPr>
      <w:ind w:right="3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2A" w:rsidRDefault="00A82A2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A2A" w:rsidRDefault="00A82A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44E9"/>
    <w:multiLevelType w:val="multilevel"/>
    <w:tmpl w:val="DA4C1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C8114F"/>
    <w:multiLevelType w:val="multilevel"/>
    <w:tmpl w:val="9170D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D251DD4"/>
    <w:multiLevelType w:val="multilevel"/>
    <w:tmpl w:val="EF4E025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2A"/>
    <w:rsid w:val="00017DAB"/>
    <w:rsid w:val="000B51DF"/>
    <w:rsid w:val="00106A0F"/>
    <w:rsid w:val="002568B0"/>
    <w:rsid w:val="006F3A8A"/>
    <w:rsid w:val="00A82A2A"/>
    <w:rsid w:val="00B0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E"/>
    <w:pPr>
      <w:spacing w:after="160" w:line="259" w:lineRule="auto"/>
    </w:pPr>
  </w:style>
  <w:style w:type="paragraph" w:styleId="1">
    <w:name w:val="heading 1"/>
    <w:basedOn w:val="a"/>
    <w:next w:val="a"/>
    <w:uiPriority w:val="99"/>
    <w:qFormat/>
    <w:rsid w:val="00A13440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20EA"/>
  </w:style>
  <w:style w:type="character" w:customStyle="1" w:styleId="a4">
    <w:name w:val="Нижний колонтитул Знак"/>
    <w:basedOn w:val="a0"/>
    <w:uiPriority w:val="99"/>
    <w:qFormat/>
    <w:rsid w:val="00E120EA"/>
  </w:style>
  <w:style w:type="character" w:customStyle="1" w:styleId="fontstyle01">
    <w:name w:val="fontstyle01"/>
    <w:basedOn w:val="a0"/>
    <w:qFormat/>
    <w:rsid w:val="00E24D33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1C65D8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3C60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A13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qFormat/>
    <w:locked/>
    <w:rsid w:val="00C17D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7"/>
    <w:qFormat/>
    <w:rsid w:val="00436A88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436A88"/>
    <w:pPr>
      <w:spacing w:after="140" w:line="276" w:lineRule="auto"/>
    </w:pPr>
  </w:style>
  <w:style w:type="paragraph" w:styleId="a8">
    <w:name w:val="List"/>
    <w:basedOn w:val="a7"/>
    <w:rsid w:val="00436A88"/>
    <w:rPr>
      <w:rFonts w:cs="Nirmala UI"/>
    </w:rPr>
  </w:style>
  <w:style w:type="paragraph" w:styleId="a9">
    <w:name w:val="caption"/>
    <w:basedOn w:val="a"/>
    <w:qFormat/>
    <w:rsid w:val="00436A8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36A88"/>
    <w:pPr>
      <w:suppressLineNumbers/>
    </w:pPr>
    <w:rPr>
      <w:rFonts w:cs="Nirmala UI"/>
    </w:rPr>
  </w:style>
  <w:style w:type="paragraph" w:styleId="aa">
    <w:name w:val="No Spacing"/>
    <w:uiPriority w:val="1"/>
    <w:qFormat/>
    <w:rsid w:val="0008573E"/>
  </w:style>
  <w:style w:type="paragraph" w:customStyle="1" w:styleId="HeaderandFooter">
    <w:name w:val="Header and Footer"/>
    <w:basedOn w:val="a"/>
    <w:qFormat/>
    <w:rsid w:val="00436A88"/>
  </w:style>
  <w:style w:type="paragraph" w:styleId="ab">
    <w:name w:val="head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C6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C1D84"/>
    <w:pPr>
      <w:ind w:left="720"/>
      <w:contextualSpacing/>
    </w:pPr>
  </w:style>
  <w:style w:type="paragraph" w:styleId="af">
    <w:name w:val="Subtitle"/>
    <w:basedOn w:val="a"/>
    <w:qFormat/>
    <w:rsid w:val="003C609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6">
    <w:name w:val="s_16"/>
    <w:basedOn w:val="a"/>
    <w:qFormat/>
    <w:rsid w:val="00C17D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link w:val="ConsPlusCell"/>
    <w:uiPriority w:val="99"/>
    <w:qFormat/>
    <w:rsid w:val="00C17DBC"/>
    <w:pPr>
      <w:suppressAutoHyphens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071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3E"/>
    <w:pPr>
      <w:spacing w:after="160" w:line="259" w:lineRule="auto"/>
    </w:pPr>
  </w:style>
  <w:style w:type="paragraph" w:styleId="1">
    <w:name w:val="heading 1"/>
    <w:basedOn w:val="a"/>
    <w:next w:val="a"/>
    <w:uiPriority w:val="99"/>
    <w:qFormat/>
    <w:rsid w:val="00A13440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120EA"/>
  </w:style>
  <w:style w:type="character" w:customStyle="1" w:styleId="a4">
    <w:name w:val="Нижний колонтитул Знак"/>
    <w:basedOn w:val="a0"/>
    <w:uiPriority w:val="99"/>
    <w:qFormat/>
    <w:rsid w:val="00E120EA"/>
  </w:style>
  <w:style w:type="character" w:customStyle="1" w:styleId="fontstyle01">
    <w:name w:val="fontstyle01"/>
    <w:basedOn w:val="a0"/>
    <w:qFormat/>
    <w:rsid w:val="00E24D33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1C65D8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qFormat/>
    <w:rsid w:val="003C60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A134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Cell">
    <w:name w:val="ConsPlusCell Знак"/>
    <w:link w:val="ConsPlusCell0"/>
    <w:uiPriority w:val="99"/>
    <w:qFormat/>
    <w:locked/>
    <w:rsid w:val="00C17D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7"/>
    <w:qFormat/>
    <w:rsid w:val="00436A88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7">
    <w:name w:val="Body Text"/>
    <w:basedOn w:val="a"/>
    <w:rsid w:val="00436A88"/>
    <w:pPr>
      <w:spacing w:after="140" w:line="276" w:lineRule="auto"/>
    </w:pPr>
  </w:style>
  <w:style w:type="paragraph" w:styleId="a8">
    <w:name w:val="List"/>
    <w:basedOn w:val="a7"/>
    <w:rsid w:val="00436A88"/>
    <w:rPr>
      <w:rFonts w:cs="Nirmala UI"/>
    </w:rPr>
  </w:style>
  <w:style w:type="paragraph" w:styleId="a9">
    <w:name w:val="caption"/>
    <w:basedOn w:val="a"/>
    <w:qFormat/>
    <w:rsid w:val="00436A8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36A88"/>
    <w:pPr>
      <w:suppressLineNumbers/>
    </w:pPr>
    <w:rPr>
      <w:rFonts w:cs="Nirmala UI"/>
    </w:rPr>
  </w:style>
  <w:style w:type="paragraph" w:styleId="aa">
    <w:name w:val="No Spacing"/>
    <w:uiPriority w:val="1"/>
    <w:qFormat/>
    <w:rsid w:val="0008573E"/>
  </w:style>
  <w:style w:type="paragraph" w:customStyle="1" w:styleId="HeaderandFooter">
    <w:name w:val="Header and Footer"/>
    <w:basedOn w:val="a"/>
    <w:qFormat/>
    <w:rsid w:val="00436A88"/>
  </w:style>
  <w:style w:type="paragraph" w:styleId="ab">
    <w:name w:val="head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120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C65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C1D84"/>
    <w:pPr>
      <w:ind w:left="720"/>
      <w:contextualSpacing/>
    </w:pPr>
  </w:style>
  <w:style w:type="paragraph" w:styleId="af">
    <w:name w:val="Subtitle"/>
    <w:basedOn w:val="a"/>
    <w:qFormat/>
    <w:rsid w:val="003C609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6">
    <w:name w:val="s_16"/>
    <w:basedOn w:val="a"/>
    <w:qFormat/>
    <w:rsid w:val="00C17D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link w:val="ConsPlusCell"/>
    <w:uiPriority w:val="99"/>
    <w:qFormat/>
    <w:rsid w:val="00C17DBC"/>
    <w:pPr>
      <w:suppressAutoHyphens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071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A5E9-D5BB-4459-91AA-9C6B4CF8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2025-03-07T02:03:00Z</cp:lastPrinted>
  <dcterms:created xsi:type="dcterms:W3CDTF">2025-04-09T07:09:00Z</dcterms:created>
  <dcterms:modified xsi:type="dcterms:W3CDTF">2025-04-09T07:09:00Z</dcterms:modified>
  <dc:language>ru-RU</dc:language>
</cp:coreProperties>
</file>